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363" w:leftChars="-173" w:right="-315" w:rightChars="-150" w:firstLine="0"/>
        <w:jc w:val="center"/>
        <w:textAlignment w:val="center"/>
        <w:rPr>
          <w:rFonts w:hint="eastAsia" w:ascii="方正小标宋简体" w:eastAsia="方正小标宋简体"/>
          <w:color w:val="FF0000"/>
          <w:spacing w:val="45"/>
          <w:w w:val="55"/>
          <w:sz w:val="144"/>
          <w:szCs w:val="144"/>
        </w:rPr>
      </w:pPr>
      <w:r>
        <w:rPr>
          <w:rFonts w:hint="eastAsia" w:ascii="方正小标宋简体" w:eastAsia="方正小标宋简体"/>
          <w:color w:val="FF0000"/>
          <w:spacing w:val="45"/>
          <w:w w:val="55"/>
          <w:sz w:val="144"/>
          <w:szCs w:val="144"/>
          <w:lang w:val="en-US" w:eastAsia="zh-CN"/>
        </w:rPr>
        <w:t>滕州</w:t>
      </w:r>
      <w:r>
        <w:rPr>
          <w:rFonts w:hint="eastAsia" w:ascii="方正小标宋简体" w:eastAsia="方正小标宋简体"/>
          <w:color w:val="FF0000"/>
          <w:spacing w:val="45"/>
          <w:w w:val="55"/>
          <w:sz w:val="144"/>
          <w:szCs w:val="144"/>
        </w:rPr>
        <w:t>市</w:t>
      </w:r>
      <w:r>
        <w:rPr>
          <w:rFonts w:hint="eastAsia" w:ascii="方正小标宋简体" w:eastAsia="方正小标宋简体"/>
          <w:color w:val="FF0000"/>
          <w:spacing w:val="45"/>
          <w:w w:val="55"/>
          <w:sz w:val="144"/>
          <w:szCs w:val="144"/>
          <w:lang w:eastAsia="zh-CN"/>
        </w:rPr>
        <w:t>应急管理</w:t>
      </w:r>
      <w:r>
        <w:rPr>
          <w:rFonts w:hint="eastAsia" w:ascii="方正小标宋简体" w:eastAsia="方正小标宋简体"/>
          <w:color w:val="FF0000"/>
          <w:spacing w:val="45"/>
          <w:w w:val="55"/>
          <w:sz w:val="144"/>
          <w:szCs w:val="144"/>
        </w:rPr>
        <w:t>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3661410</wp:posOffset>
                </wp:positionV>
                <wp:extent cx="6172200" cy="0"/>
                <wp:effectExtent l="0" t="11430" r="0" b="1397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23368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88.3pt;height:0pt;width:486pt;mso-position-horizontal:center;mso-position-horizontal-relative:page;mso-position-vertical-relative:page;z-index:251658240;mso-width-relative:page;mso-height-relative:page;" filled="f" stroked="t" coordsize="21600,21600" o:gfxdata="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ntK+0&#10;1gAAAAgBAAAPAAAAAAAAAAEAIAAAACIAAABkcnMvZG93bnJldi54bWxQSwECFAAUAAAACACHTuJA&#10;C+t2PSMCAABQBAAADgAAAAAAAAABACAAAAAlAQAAZHJzL2Uyb0RvYy54bWxQSwUGAAAAAAYABgBZ&#10;AQAAugUAAAAA&#10;">
                <v:fill on="f" focussize="0,0"/>
                <v:stroke weight="1.84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滕州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关于推进安全生产分类分级执法的实施意见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镇（街）应急办、滨湖镇应急管理局，滕州经济开发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管委会规划建设部，局属各科室（单位）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《滕州市应急管理局关于推进安全生产分类分级执法的实施意见》经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审议通过，现印发给你们，请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各单位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认真学习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滕州市应急管理局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2021年2月18日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滕州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关于推进安全生产分类分级执法的实施意见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安全生产执法工作，全面推行安全生产分类分级执法，有效提升安全生产执法效能，根据《中华人民共和国安全生产法》《中华人民共和国突发事件应对法》《中共中央国务院关于推进安全生产领域改革发展的意见》《山东省安全生产行政责任制规定》和省政府安委会《关于加强安全生产分级分类监督管理的意见》（鲁安发〔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号）、省应急厅《关于推进安全生产分类分级执法的指导意见》（鲁应急发〔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市安委会《关于印发枣庄市加强安全生产分级分类监督管理工作方案的通知》（枣安发〔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号）等法律法规和文件要求，制定本实施意见：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一、工作目标和基本原则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落实习近平总书记关于安全生产工作的重要指示要求，按照“法定职责必须为、法无授权不可为”的原则，根据生产经营单位分类分级情况，合理划分执法层级，明确执法事权，实施科学执法、精准执法、差异化执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执法工作合力，确保全市安全生产形势持续稳定。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规范执法。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依法履行职责，完善执法程序，规范执法行为，做到严格规范公正文明执法，依法查处违法违规行为，加强安全生产事中事后监管。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精准执法。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按照企业安全生产等级综合评定标准，将执法范围内的企业划分为不同类别，定期进行动态调整，实施分类精准执法，防止执法简单化、“一刀切”。坚持执法重心下移，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合理</w:t>
      </w:r>
      <w:r>
        <w:rPr>
          <w:rFonts w:hint="eastAsia" w:ascii="仿宋_GB2312" w:hAnsi="仿宋_GB2312" w:eastAsia="仿宋_GB2312" w:cs="仿宋_GB2312"/>
          <w:sz w:val="32"/>
          <w:szCs w:val="32"/>
        </w:rPr>
        <w:t>划分市、镇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级执法事权，原则上每一家企业只对应一个层级执法主体，避免多层级重复执法和执法缺位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</w:rPr>
        <w:t>重点执法。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坚持高危行业领域企业执法全覆盖，按照安全生产等级分类结果，实施不同检查频次的差异化执法；坚持一般行业领域企业双随机抽取执法，按照安全生产等级分类确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抽查比例，提高执法效能。对发生生产安全事故、多次违法违规、纳入失信“黑名单”、被投诉举报的企业，采取“四不两直”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“双随机”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等方式，加大执法检查力度，增加执法检查频次，严格实施行政处罚。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FF6600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4.</w:t>
      </w:r>
      <w:r>
        <w:rPr>
          <w:rFonts w:hint="eastAsia" w:ascii="楷体_GB2312" w:hAnsi="楷体_GB2312" w:eastAsia="楷体_GB2312" w:cs="楷体_GB2312"/>
          <w:sz w:val="32"/>
          <w:szCs w:val="32"/>
        </w:rPr>
        <w:t>温情执法。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严格落实“谁执法、谁普法”普法责任制，将普法宣传贯穿执法检查、行政处罚全过程，加大“专家查隐患”和“说理式”执法力度，做到严格执法、温情执法，督促各类企业自觉做到尊法、学法、懂法、守法。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二、科学分类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楷体_GB2312" w:hAnsi="楷体_GB2312" w:eastAsia="楷体_GB2312" w:cs="楷体_GB2312"/>
          <w:color w:val="FF66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（一）建立企业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基本</w:t>
      </w:r>
      <w:r>
        <w:rPr>
          <w:rFonts w:hint="eastAsia" w:ascii="楷体_GB2312" w:hAnsi="楷体_GB2312" w:eastAsia="楷体_GB2312" w:cs="楷体_GB2312"/>
          <w:sz w:val="32"/>
          <w:szCs w:val="32"/>
        </w:rPr>
        <w:t>信息库，明确重点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检查</w:t>
      </w:r>
      <w:r>
        <w:rPr>
          <w:rFonts w:hint="eastAsia" w:ascii="楷体_GB2312" w:hAnsi="楷体_GB2312" w:eastAsia="楷体_GB2312" w:cs="楷体_GB2312"/>
          <w:sz w:val="32"/>
          <w:szCs w:val="32"/>
        </w:rPr>
        <w:t>企业和一般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检查</w:t>
      </w:r>
      <w:r>
        <w:rPr>
          <w:rFonts w:hint="eastAsia" w:ascii="楷体_GB2312" w:hAnsi="楷体_GB2312" w:eastAsia="楷体_GB2312" w:cs="楷体_GB2312"/>
          <w:sz w:val="32"/>
          <w:szCs w:val="32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</w:rPr>
        <w:t>）要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枣安发〔2020〕17号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《国民经济行业分类》（GB/T4754-2017）为基准，以《山东省安全生产行政责任制规定》（省政府令第293号）、《工业和信息化部关于进一步加强工业行业安全生产管理的指导意见》（工信部安全〔2020〕83号）、《冶金有色建材机械轻工纺织烟草商贸行业安全监管分类标准（试行）》（应急厅〔2020〕17号）、《枣庄市安全生产责任制规定》（枣委〔2017〕187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等有关法规文件为依据，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组织全面摸清辖区内应急管理部门监管职责范围内的企业基本情况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以安全风险等级为基本依据，结合企业行业类别、经济规模及事故统计等因素，将企业分为重点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企业和一般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企业两个类别，依托执法信息化平台建立企业基本信息库，定期予以更新。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危险化学品、非煤矿山、烟花爆竹、金属冶炼等高危行业领域企业，以及近三年发生过造成人员死亡的生产安全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事故、存在重大事故隐患、多次违法违规被处罚、纳入失信“黑名单”的企业，原则上应确定为重点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企业；一般工贸行业企业，以及不属于危险化学品领域的化工、医药企业，应确定为一般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（二）按照企业安全生产等级综合评定标准进行分类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</w:rPr>
        <w:t>）要综合考虑企业所属行业特点、固有风险和企业安全生产管理现状，有效利用安全标准化达标等级和双重预防体系建设成果，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安全生产等级综合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评定标准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，将企业划分为</w:t>
      </w:r>
      <w:r>
        <w:rPr>
          <w:rFonts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</w:rPr>
        <w:t>三个类别，分别对应安全生产等级“优、中、差”三个等次。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危险化学品领域：根据《危险化学品生产储存企业安全风险评估诊断分级指南（试行）》判定为红色或橙色的作为重点检查企业</w:t>
      </w:r>
      <w:r>
        <w:rPr>
          <w:rFonts w:ascii="仿宋_GB2312" w:hAnsi="仿宋_GB2312" w:eastAsia="仿宋_GB2312" w:cs="仿宋_GB2312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黄色的为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蓝色的为</w:t>
      </w:r>
      <w:r>
        <w:rPr>
          <w:rFonts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执法年度结合安全生产信用风险等级评定结果、事故发生情况、受行政处罚情况、群众举报查处情况、安责险投保情况、安全生产有关表彰情况等安全管理因素实施动态调整，一般采取逐级升降的形式，原则上企业一年内只能升级一次，给予降级的一年内不得予以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（三）分类确定执法检查频次和抽查比例，实施差异化精准执法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对重点执法企业的执法检查频次，要在全覆盖基础上突出重点：对年度安全生产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等级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综合评定为</w:t>
      </w:r>
      <w:r>
        <w:rPr>
          <w:rFonts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类的，鼓励企业强化自主管理水平，原则上采取结合年度执法工作计划，按照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年全覆盖的比例开展双随机抽查执法；对年度安全生产等级综合评定为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</w:rPr>
        <w:t>类的，予以常规监管执法，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个执法年度内至少实现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次全覆盖执法；对年度安全生产等级综合评定为</w:t>
      </w:r>
      <w:r>
        <w:rPr>
          <w:rFonts w:ascii="仿宋_GB2312" w:hAnsi="仿宋_GB2312" w:eastAsia="仿宋_GB2312" w:cs="仿宋_GB2312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</w:rPr>
        <w:t>类的，予以重点监管执法，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个执法年度内至少实现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次全覆盖执法，必要时可适当增加频次进行重点执法。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对一般执法企业主要以“双随机”抽查为主，抽查比例按照安全生产等级类别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确定：对年度安全生产等级综合评定为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类的，原则上可适当降低抽查比例；对年度安全生产等级综合评定为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合理确定抽查比例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；对年度安全生产等级综合评定为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执法对象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，可适当提高抽查比例。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三、合理分级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依据《山东省安全生产行政责任制规定》（省政府令第293号）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《枣庄市安全生产责任制规定》（枣委〔2017〕187号）等相关规定，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职责范围内的中央企业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级单位、省管企业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级单位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省属企业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安全生产执法工作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监管职责范围内的中央企业三级单位、省管企业二级单位、省属企业（省管企业除外）和市管企业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安全生产执法工作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安全生产监管执法实际，合理划分市、镇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级应急管理部门的执法事权，实施安全生产分级执法，原则上每一家企业重点对应一个层级的执法主体。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市应急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负责指导、协调和监督本市辖区内安全生产执法工作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应急管理部门职责范围内的中央企业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单位、省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危险化学品生产企业、烟花爆竹批发企业、非煤矿山、危险性较大的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工贸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安全生产执法工作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（日常安全生产监管由属地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镇&lt;街&gt;应急管理部门负责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，并建立健全基本信息台账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督促指导各镇（街）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生产经营单位安全监管工作，对辖区内小微企业进行随机抽查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组织指导部署镇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）应急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工作；组织查办辖区内一般安全生产违法行为案件，承接上级交办的违法行为案件和投诉举报案件；依法查办镇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）应急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移送的违法行为案件。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（二）镇（街）应急办（局）由市应急局按照委托执法要求，按照“属地管理”原则，对辖区内生产经营单位进行全面安全检查，建立健全基本信息台账</w:t>
      </w:r>
      <w:r>
        <w:rPr>
          <w:rFonts w:hint="eastAsia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确定镇（街）执法企业名单，在执法企业名单内进行</w:t>
      </w:r>
      <w:r>
        <w:rPr>
          <w:rFonts w:hint="eastAsia" w:hAnsi="仿宋_GB2312" w:eastAsia="仿宋_GB2312" w:cs="仿宋_GB2312"/>
          <w:kern w:val="2"/>
          <w:sz w:val="32"/>
          <w:szCs w:val="32"/>
          <w:lang w:val="en-US" w:eastAsia="zh-CN" w:bidi="ar-SA"/>
        </w:rPr>
        <w:t>安全生产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实行分类分级执法是落实执法责任、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提高执法效能的重要举措，是深化应急管理综合行政执法改革的重要内容。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）应急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要加强组织领导，把分类分级执法工作作为长期性、基础性工作重点推进，制定具体的实施意见或实施方案，明确工作目标及措施，狠抓工作落实。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（二）建立健全信息库。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正在开展的安全生产大排查大整治专项行动，建立健全监管企业台账，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确保监管全覆盖、无遗漏。同时，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按照市应急局对重点执法企业的分类办法，将其他执法企业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划分相应类别，并督促指导各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科学划分相应层级企业类别，建立完善区市、镇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安全生产分类分级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3月1日前将《企业安全生产分类分级执法信息统计表》（附件）报送市应急局监察大队（纸质签字盖章版送至政务中心B0011室，电子版发至公务邮tzyjjcdd@zz.shandong.cn）。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（三）完善工作机制。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）应急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要结合工作实际，对执法企业基本信息库进行动态管理，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实现管理的信息化、科学化；要严格落实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信用激励机制和失信惩戒机制，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发挥好“红黑”名单作用，通过奖惩考核、处罚问责等有力措施，切实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增强企业安全生产内生动力，强化安全生产主体责任落实。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（四）严格落实执法要求。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）应急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推进分类分级执法工作，在分类分级基础上精准制定年度执法计划，全面落实行政执法公示、全过程记录、重大执法决定法制审核“三项制度”，科学高效、公开透明，实现有限执法力量的最大执法效能。市应急管理局将加大对“零执法、零处罚”单位的督导力度，切实提升安全生产执法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701" w:right="1588" w:bottom="1701" w:left="1588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286" w:charSpace="0"/>
        </w:sectPr>
      </w:pPr>
    </w:p>
    <w:p>
      <w:pPr>
        <w:pStyle w:val="12"/>
        <w:overflowPunct w:val="0"/>
        <w:jc w:val="both"/>
        <w:rPr>
          <w:rFonts w:hint="eastAsia" w:ascii="黑体" w:eastAsia="黑体"/>
          <w:sz w:val="32"/>
          <w:lang w:eastAsia="zh-CN"/>
        </w:rPr>
      </w:pPr>
      <w:r>
        <w:rPr>
          <w:rFonts w:ascii="黑体" w:eastAsia="黑体"/>
          <w:sz w:val="32"/>
        </w:rPr>
        <w:t>附件</w:t>
      </w:r>
      <w:r>
        <w:rPr>
          <w:rFonts w:hint="eastAsia" w:ascii="黑体" w:eastAsia="黑体"/>
          <w:sz w:val="32"/>
          <w:lang w:eastAsia="zh-CN"/>
        </w:rPr>
        <w:t>：</w:t>
      </w:r>
    </w:p>
    <w:p>
      <w:pPr>
        <w:pStyle w:val="12"/>
        <w:overflowPunct w:val="0"/>
        <w:adjustRightInd w:val="0"/>
        <w:snapToGrid w:val="0"/>
        <w:jc w:val="center"/>
        <w:rPr>
          <w:rFonts w:hint="eastAsia" w:eastAsia="方正小标宋简体"/>
          <w:sz w:val="44"/>
          <w:lang w:eastAsia="zh-CN"/>
        </w:rPr>
      </w:pPr>
      <w:r>
        <w:rPr>
          <w:rFonts w:hint="eastAsia"/>
          <w:sz w:val="44"/>
          <w:lang w:eastAsia="zh-CN"/>
        </w:rPr>
        <w:t>企业</w:t>
      </w:r>
      <w:r>
        <w:rPr>
          <w:sz w:val="44"/>
        </w:rPr>
        <w:t>安全生产分类分级</w:t>
      </w:r>
      <w:r>
        <w:rPr>
          <w:rFonts w:hint="eastAsia"/>
          <w:sz w:val="44"/>
          <w:lang w:eastAsia="zh-CN"/>
        </w:rPr>
        <w:t>执法信息统计表</w:t>
      </w:r>
    </w:p>
    <w:p>
      <w:pPr>
        <w:pStyle w:val="13"/>
        <w:rPr>
          <w:rFonts w:hint="default" w:ascii="楷体" w:eastAsia="楷体"/>
          <w:sz w:val="28"/>
        </w:rPr>
      </w:pPr>
      <w:r>
        <w:rPr>
          <w:rFonts w:ascii="楷体" w:eastAsia="楷体"/>
          <w:sz w:val="28"/>
        </w:rPr>
        <w:t>填报单位：</w:t>
      </w:r>
      <w:r>
        <w:rPr>
          <w:rFonts w:hint="eastAsia" w:ascii="楷体" w:eastAsia="楷体"/>
          <w:sz w:val="28"/>
          <w:u w:val="single"/>
          <w:lang w:val="en-US" w:eastAsia="zh-CN"/>
        </w:rPr>
        <w:t xml:space="preserve">    </w:t>
      </w:r>
      <w:r>
        <w:rPr>
          <w:rFonts w:hint="eastAsia" w:ascii="楷体" w:eastAsia="楷体"/>
          <w:sz w:val="28"/>
          <w:u w:val="none"/>
          <w:lang w:val="en-US" w:eastAsia="zh-CN"/>
        </w:rPr>
        <w:t>区（市）应急局、镇街应急办</w:t>
      </w:r>
      <w:r>
        <w:rPr>
          <w:rFonts w:ascii="楷体" w:eastAsia="楷体"/>
          <w:sz w:val="28"/>
        </w:rPr>
        <w:t xml:space="preserve">                        填报日期：       年  月  日</w:t>
      </w:r>
    </w:p>
    <w:tbl>
      <w:tblPr>
        <w:tblStyle w:val="8"/>
        <w:tblW w:w="14017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752"/>
        <w:gridCol w:w="1493"/>
        <w:gridCol w:w="1692"/>
        <w:gridCol w:w="1028"/>
        <w:gridCol w:w="1079"/>
        <w:gridCol w:w="1012"/>
        <w:gridCol w:w="1028"/>
        <w:gridCol w:w="862"/>
        <w:gridCol w:w="863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>序号</w:t>
            </w:r>
          </w:p>
        </w:tc>
        <w:tc>
          <w:tcPr>
            <w:tcW w:w="2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>企业名称</w:t>
            </w:r>
          </w:p>
        </w:tc>
        <w:tc>
          <w:tcPr>
            <w:tcW w:w="14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黑体" w:eastAsia="黑体"/>
                <w:sz w:val="28"/>
              </w:rPr>
            </w:pPr>
            <w:r>
              <w:rPr>
                <w:rFonts w:hint="default" w:ascii="黑体" w:eastAsia="黑体"/>
                <w:sz w:val="28"/>
              </w:rPr>
              <w:t>统一社会</w:t>
            </w:r>
          </w:p>
          <w:p>
            <w:pPr>
              <w:pStyle w:val="12"/>
              <w:jc w:val="center"/>
              <w:rPr>
                <w:rFonts w:hint="default" w:ascii="黑体" w:eastAsia="黑体"/>
                <w:sz w:val="28"/>
              </w:rPr>
            </w:pPr>
            <w:r>
              <w:rPr>
                <w:rFonts w:hint="default" w:ascii="黑体" w:eastAsia="黑体"/>
                <w:sz w:val="28"/>
              </w:rPr>
              <w:t>信用代码</w:t>
            </w:r>
          </w:p>
        </w:tc>
        <w:tc>
          <w:tcPr>
            <w:tcW w:w="16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法人代表</w:t>
            </w:r>
          </w:p>
        </w:tc>
        <w:tc>
          <w:tcPr>
            <w:tcW w:w="21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企业类型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分类情况</w:t>
            </w: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分级情况</w:t>
            </w:r>
          </w:p>
        </w:tc>
        <w:tc>
          <w:tcPr>
            <w:tcW w:w="11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2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4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6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eastAsia="方正小标宋简体"/>
                <w:lang w:eastAsia="zh-CN"/>
              </w:rPr>
            </w:pPr>
            <w:r>
              <w:rPr>
                <w:rFonts w:hint="eastAsia"/>
                <w:lang w:eastAsia="zh-CN"/>
              </w:rPr>
              <w:t>行业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eastAsia="方正小标宋简体"/>
                <w:lang w:eastAsia="zh-CN"/>
              </w:rPr>
            </w:pPr>
            <w:r>
              <w:rPr>
                <w:rFonts w:hint="eastAsia"/>
                <w:lang w:eastAsia="zh-CN"/>
              </w:rPr>
              <w:t>规模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重点</w:t>
            </w:r>
          </w:p>
          <w:p>
            <w:pPr>
              <w:pStyle w:val="12"/>
              <w:jc w:val="center"/>
              <w:rPr>
                <w:rFonts w:hint="eastAsia" w:eastAsia="方正小标宋简体"/>
                <w:lang w:eastAsia="zh-CN"/>
              </w:rPr>
            </w:pPr>
            <w:r>
              <w:rPr>
                <w:rFonts w:hint="eastAsia"/>
                <w:lang w:eastAsia="zh-CN"/>
              </w:rPr>
              <w:t>一般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eastAsia="方正小标宋简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A\B\C类</w:t>
            </w:r>
          </w:p>
        </w:tc>
        <w:tc>
          <w:tcPr>
            <w:tcW w:w="8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</w:pPr>
            <w:r>
              <w:rPr>
                <w:rFonts w:hint="eastAsia" w:ascii="黑体" w:eastAsia="黑体"/>
                <w:sz w:val="28"/>
                <w:lang w:eastAsia="zh-CN"/>
              </w:rPr>
              <w:t>区</w:t>
            </w:r>
            <w:r>
              <w:rPr>
                <w:rFonts w:hint="eastAsia" w:ascii="黑体" w:eastAsia="黑体"/>
                <w:sz w:val="28"/>
                <w:lang w:val="en-US" w:eastAsia="zh-CN"/>
              </w:rPr>
              <w:t>市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镇街</w:t>
            </w:r>
          </w:p>
        </w:tc>
        <w:tc>
          <w:tcPr>
            <w:tcW w:w="11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rPr>
                <w:rFonts w:hint="default" w:eastAsia="宋体"/>
                <w:color w:val="auto"/>
              </w:rPr>
            </w:pPr>
          </w:p>
        </w:tc>
        <w:tc>
          <w:tcPr>
            <w:tcW w:w="27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rPr>
                <w:rFonts w:hint="default" w:eastAsia="宋体"/>
                <w:color w:val="auto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rPr>
                <w:rFonts w:hint="default" w:eastAsia="宋体"/>
                <w:color w:val="auto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rPr>
                <w:rFonts w:hint="default" w:eastAsia="宋体"/>
                <w:color w:val="auto"/>
              </w:rPr>
            </w:pPr>
          </w:p>
        </w:tc>
        <w:tc>
          <w:tcPr>
            <w:tcW w:w="1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rPr>
                <w:rFonts w:hint="default" w:eastAsia="宋体"/>
                <w:color w:val="auto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  <w:rPr>
                <w:rFonts w:hint="default" w:eastAsia="宋体"/>
                <w:color w:val="auto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  <w:rPr>
                <w:rFonts w:hint="default" w:eastAsia="宋体"/>
                <w:color w:val="auto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  <w:rPr>
                <w:rFonts w:hint="default" w:eastAsia="宋体"/>
                <w:color w:val="auto"/>
              </w:rPr>
            </w:pP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  <w:rPr>
                <w:rFonts w:hint="default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27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27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0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2"/>
              <w:jc w:val="center"/>
            </w:pPr>
          </w:p>
        </w:tc>
      </w:tr>
    </w:tbl>
    <w:p>
      <w:pPr>
        <w:pStyle w:val="12"/>
        <w:rPr>
          <w:rFonts w:hint="default" w:eastAsia="宋体"/>
          <w:color w:val="auto"/>
        </w:rPr>
      </w:pPr>
    </w:p>
    <w:p>
      <w:pPr>
        <w:pStyle w:val="12"/>
        <w:spacing w:after="2413"/>
        <w:rPr>
          <w:rFonts w:ascii="楷体" w:eastAsia="楷体"/>
          <w:color w:val="auto"/>
        </w:rPr>
        <w:sectPr>
          <w:pgSz w:w="16838" w:h="11906" w:orient="landscape"/>
          <w:pgMar w:top="1588" w:right="1701" w:bottom="1588" w:left="1701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286" w:charSpace="0"/>
        </w:sectPr>
      </w:pPr>
      <w:r>
        <w:rPr>
          <w:rFonts w:ascii="楷体" w:eastAsia="楷体"/>
          <w:color w:val="auto"/>
        </w:rPr>
        <w:t>审核人：                                                     填报人：                    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eastAsia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eastAsia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2F93DB"/>
    <w:multiLevelType w:val="singleLevel"/>
    <w:tmpl w:val="CE2F93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866DC"/>
    <w:rsid w:val="00077902"/>
    <w:rsid w:val="0019633B"/>
    <w:rsid w:val="00315E63"/>
    <w:rsid w:val="003C14A8"/>
    <w:rsid w:val="005767CE"/>
    <w:rsid w:val="0069531B"/>
    <w:rsid w:val="00780C1A"/>
    <w:rsid w:val="007D5543"/>
    <w:rsid w:val="008211D2"/>
    <w:rsid w:val="00942F71"/>
    <w:rsid w:val="00985B90"/>
    <w:rsid w:val="00A22713"/>
    <w:rsid w:val="00A60387"/>
    <w:rsid w:val="00A80FD6"/>
    <w:rsid w:val="00AA74A2"/>
    <w:rsid w:val="00B12D59"/>
    <w:rsid w:val="00B60FA6"/>
    <w:rsid w:val="00C87CE6"/>
    <w:rsid w:val="00CE2D13"/>
    <w:rsid w:val="00EA6BCC"/>
    <w:rsid w:val="025C0EB0"/>
    <w:rsid w:val="02B26A18"/>
    <w:rsid w:val="05465290"/>
    <w:rsid w:val="055A1207"/>
    <w:rsid w:val="05BA61D7"/>
    <w:rsid w:val="07450E51"/>
    <w:rsid w:val="07C053BD"/>
    <w:rsid w:val="07C96F5E"/>
    <w:rsid w:val="07F0418B"/>
    <w:rsid w:val="0948095C"/>
    <w:rsid w:val="09C40DCB"/>
    <w:rsid w:val="0B1912C4"/>
    <w:rsid w:val="0B711318"/>
    <w:rsid w:val="0C1679D3"/>
    <w:rsid w:val="0E2177F9"/>
    <w:rsid w:val="0E262428"/>
    <w:rsid w:val="0E304AB0"/>
    <w:rsid w:val="0E43264D"/>
    <w:rsid w:val="0F0727DF"/>
    <w:rsid w:val="0F7C7C9C"/>
    <w:rsid w:val="1001419D"/>
    <w:rsid w:val="125A5154"/>
    <w:rsid w:val="155A39F7"/>
    <w:rsid w:val="15996225"/>
    <w:rsid w:val="163C497D"/>
    <w:rsid w:val="167402E7"/>
    <w:rsid w:val="16FF5F72"/>
    <w:rsid w:val="17C248A0"/>
    <w:rsid w:val="18D2550F"/>
    <w:rsid w:val="197819BD"/>
    <w:rsid w:val="1ABE7151"/>
    <w:rsid w:val="1C622EDF"/>
    <w:rsid w:val="1D22246C"/>
    <w:rsid w:val="1ECC1734"/>
    <w:rsid w:val="1FD426CF"/>
    <w:rsid w:val="1FF003FB"/>
    <w:rsid w:val="208C2C64"/>
    <w:rsid w:val="22BD61DB"/>
    <w:rsid w:val="22EB7453"/>
    <w:rsid w:val="23600BE7"/>
    <w:rsid w:val="24A34288"/>
    <w:rsid w:val="24C15FA1"/>
    <w:rsid w:val="24CD5F72"/>
    <w:rsid w:val="25462F6A"/>
    <w:rsid w:val="26B326E2"/>
    <w:rsid w:val="27341555"/>
    <w:rsid w:val="274827F0"/>
    <w:rsid w:val="28D02153"/>
    <w:rsid w:val="294C1F85"/>
    <w:rsid w:val="296E0E51"/>
    <w:rsid w:val="298A6529"/>
    <w:rsid w:val="2A5A1039"/>
    <w:rsid w:val="2A6E6C6C"/>
    <w:rsid w:val="2A926E2B"/>
    <w:rsid w:val="2BAA6879"/>
    <w:rsid w:val="2C847524"/>
    <w:rsid w:val="2CA33A45"/>
    <w:rsid w:val="2D044DF2"/>
    <w:rsid w:val="2E4D0F51"/>
    <w:rsid w:val="2EC63297"/>
    <w:rsid w:val="2FC94331"/>
    <w:rsid w:val="31246C73"/>
    <w:rsid w:val="314F3C43"/>
    <w:rsid w:val="33D46C5A"/>
    <w:rsid w:val="33ED32EE"/>
    <w:rsid w:val="34606AF8"/>
    <w:rsid w:val="3679088B"/>
    <w:rsid w:val="36D04B81"/>
    <w:rsid w:val="383426A5"/>
    <w:rsid w:val="39A72358"/>
    <w:rsid w:val="3A977045"/>
    <w:rsid w:val="3AA77AB9"/>
    <w:rsid w:val="3AE703AD"/>
    <w:rsid w:val="3BEA54AB"/>
    <w:rsid w:val="3CED40CF"/>
    <w:rsid w:val="3CF07314"/>
    <w:rsid w:val="3DB80FD1"/>
    <w:rsid w:val="3FE92EF8"/>
    <w:rsid w:val="407B10FE"/>
    <w:rsid w:val="41BA5810"/>
    <w:rsid w:val="42843125"/>
    <w:rsid w:val="43DD3696"/>
    <w:rsid w:val="4434047A"/>
    <w:rsid w:val="46DC75B4"/>
    <w:rsid w:val="47712952"/>
    <w:rsid w:val="47FA0F6B"/>
    <w:rsid w:val="47FF606C"/>
    <w:rsid w:val="49D441B9"/>
    <w:rsid w:val="4BC120F1"/>
    <w:rsid w:val="4C254C08"/>
    <w:rsid w:val="4DE32599"/>
    <w:rsid w:val="4EAD351A"/>
    <w:rsid w:val="4EC36756"/>
    <w:rsid w:val="517C3E47"/>
    <w:rsid w:val="527E5CE3"/>
    <w:rsid w:val="52A81C59"/>
    <w:rsid w:val="55D47B65"/>
    <w:rsid w:val="5604534C"/>
    <w:rsid w:val="58FC6B30"/>
    <w:rsid w:val="59841AFB"/>
    <w:rsid w:val="5B831F01"/>
    <w:rsid w:val="5C1354E4"/>
    <w:rsid w:val="5C904B00"/>
    <w:rsid w:val="5CD45107"/>
    <w:rsid w:val="5F50385A"/>
    <w:rsid w:val="61134C26"/>
    <w:rsid w:val="62CD1108"/>
    <w:rsid w:val="632C6333"/>
    <w:rsid w:val="641F61D9"/>
    <w:rsid w:val="64247A8C"/>
    <w:rsid w:val="653B476A"/>
    <w:rsid w:val="65E935BE"/>
    <w:rsid w:val="673E5ACF"/>
    <w:rsid w:val="67736470"/>
    <w:rsid w:val="67F71F06"/>
    <w:rsid w:val="687E21C5"/>
    <w:rsid w:val="68A449CB"/>
    <w:rsid w:val="68CD294F"/>
    <w:rsid w:val="68F3174B"/>
    <w:rsid w:val="69BE1FB5"/>
    <w:rsid w:val="6B20670C"/>
    <w:rsid w:val="6B6141CE"/>
    <w:rsid w:val="6B865E7A"/>
    <w:rsid w:val="6CF44E4B"/>
    <w:rsid w:val="6F26322E"/>
    <w:rsid w:val="71786A58"/>
    <w:rsid w:val="729A1693"/>
    <w:rsid w:val="72C01478"/>
    <w:rsid w:val="72E866DC"/>
    <w:rsid w:val="73A70A2F"/>
    <w:rsid w:val="743B1863"/>
    <w:rsid w:val="74BF7730"/>
    <w:rsid w:val="74F47921"/>
    <w:rsid w:val="75176574"/>
    <w:rsid w:val="75940995"/>
    <w:rsid w:val="76A9105E"/>
    <w:rsid w:val="77D60648"/>
    <w:rsid w:val="77F73C53"/>
    <w:rsid w:val="78FF5568"/>
    <w:rsid w:val="79652715"/>
    <w:rsid w:val="7AB34D28"/>
    <w:rsid w:val="7AC66553"/>
    <w:rsid w:val="7ADE67A0"/>
    <w:rsid w:val="7C22696B"/>
    <w:rsid w:val="7CCD2E3A"/>
    <w:rsid w:val="7D202993"/>
    <w:rsid w:val="7F2A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/>
    </w:pPr>
    <w:rPr>
      <w:rFonts w:ascii="仿宋_GB2312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character" w:customStyle="1" w:styleId="10">
    <w:name w:val="Footer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Header Char"/>
    <w:basedOn w:val="9"/>
    <w:link w:val="6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</w:pPr>
    <w:rPr>
      <w:rFonts w:hint="eastAsia" w:ascii="方正小标宋简体" w:hAnsi="宋体" w:eastAsia="方正小标宋简体" w:cs="Times New Roman"/>
      <w:color w:val="000000"/>
      <w:sz w:val="24"/>
      <w:lang w:val="en-US" w:eastAsia="zh-CN" w:bidi="ar-SA"/>
    </w:rPr>
  </w:style>
  <w:style w:type="paragraph" w:customStyle="1" w:styleId="13">
    <w:name w:val="CM9"/>
    <w:basedOn w:val="12"/>
    <w:next w:val="12"/>
    <w:qFormat/>
    <w:uiPriority w:val="0"/>
    <w:pPr>
      <w:spacing w:after="265" w:afterLines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475</Words>
  <Characters>2713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2020-12-30T00:49:00Z</dcterms:created>
  <dc:creator>admin</dc:creator>
  <cp:lastModifiedBy>黑涩8幽默</cp:lastModifiedBy>
  <cp:lastPrinted>2021-02-24T00:58:00Z</cp:lastPrinted>
  <dcterms:modified xsi:type="dcterms:W3CDTF">2021-03-07T06:20:43Z</dcterms:modified>
  <dc:title>枣庄市应急管理局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